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D" w:rsidRPr="0047356D" w:rsidRDefault="0047356D" w:rsidP="0047356D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7356D">
        <w:rPr>
          <w:rFonts w:ascii="Times New Roman" w:hAnsi="Times New Roman"/>
          <w:b/>
          <w:sz w:val="20"/>
          <w:szCs w:val="20"/>
          <w:lang w:eastAsia="ru-RU"/>
        </w:rPr>
        <w:t>Трудоустройство выпускников КГБ ПОУ ХКОТСО  за 2019 год</w:t>
      </w:r>
      <w:r w:rsidR="00EE680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433"/>
        <w:gridCol w:w="1230"/>
        <w:gridCol w:w="2472"/>
        <w:gridCol w:w="1563"/>
        <w:gridCol w:w="1982"/>
        <w:gridCol w:w="1998"/>
      </w:tblGrid>
      <w:tr w:rsidR="0047356D" w:rsidRPr="0047356D" w:rsidTr="00234173">
        <w:trPr>
          <w:trHeight w:val="300"/>
        </w:trPr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47356D" w:rsidRPr="0047356D" w:rsidTr="002341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Направлено на трудоустройство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Призваны в 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Продолжат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уходу за ребенком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</w:p>
          <w:p w:rsidR="0047356D" w:rsidRPr="0047356D" w:rsidRDefault="0047356D" w:rsidP="00234173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  <w:r w:rsidRPr="0047356D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 xml:space="preserve">14 -    </w:t>
            </w:r>
            <w:r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(82.4 %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jc w:val="center"/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</w:pPr>
            <w:r w:rsidRPr="0047356D">
              <w:rPr>
                <w:rFonts w:eastAsia="Calibri"/>
                <w:b/>
                <w:iCs/>
                <w:color w:val="000000"/>
                <w:kern w:val="24"/>
                <w:sz w:val="20"/>
                <w:szCs w:val="20"/>
              </w:rPr>
              <w:t xml:space="preserve">3 </w:t>
            </w:r>
            <w:r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– (17.6 %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jc w:val="center"/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</w:pPr>
            <w:r w:rsidRPr="0047356D">
              <w:rPr>
                <w:rFonts w:eastAsia="Calibri"/>
                <w:i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13 - 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(68.4 %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–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(31.6%)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11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(61.1 %)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(38.9 %)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44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21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– (100%)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(70.6 %)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 -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(29.4 %)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(54.8 %)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14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(45.2 %)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(45.5%)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   (54.5 %)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56D" w:rsidRPr="0047356D" w:rsidTr="00234173">
        <w:trPr>
          <w:trHeight w:val="597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Рациональное использование природохозяйственных комплексов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(85.7 %)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- ( 7.1 %)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1 – (7.1%)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Почтовая связь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8 -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(100%)</w:t>
            </w: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(41.2 %)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(58.8 %)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7356D" w:rsidRPr="0047356D" w:rsidTr="0047356D">
        <w:trPr>
          <w:trHeight w:val="37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нефтепереработки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53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(100 %)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47356D">
        <w:trPr>
          <w:trHeight w:val="2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48 </w:t>
            </w: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(88.9 %)</w:t>
            </w: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(1.9 %)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(9.3 %)</w:t>
            </w:r>
          </w:p>
        </w:tc>
      </w:tr>
      <w:tr w:rsidR="0047356D" w:rsidRPr="0047356D" w:rsidTr="0047356D">
        <w:trPr>
          <w:trHeight w:val="413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Агент рекламный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 –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(88.2 %)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– (11.8 %)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Официант, бармен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10 –  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100 %)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Электромонтажник электрический сетей и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 – 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(18.8 %)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(81.3 %)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Наладчик компьютерных сетей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(14.3 %)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(85.7 %)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(14.3 %)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- (85.7 %)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7356D" w:rsidRPr="0047356D" w:rsidTr="00234173">
        <w:trPr>
          <w:trHeight w:val="30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</w:t>
            </w: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– </w:t>
            </w:r>
            <w:r w:rsidRPr="0047356D">
              <w:rPr>
                <w:rFonts w:ascii="Times New Roman" w:hAnsi="Times New Roman"/>
                <w:sz w:val="20"/>
                <w:szCs w:val="20"/>
                <w:lang w:eastAsia="ru-RU"/>
              </w:rPr>
              <w:t>(100 %)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23417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47356D" w:rsidRPr="0047356D" w:rsidTr="0047356D">
        <w:trPr>
          <w:trHeight w:val="479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7356D" w:rsidRPr="0047356D" w:rsidRDefault="0047356D" w:rsidP="002341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75,1 %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22.7 %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356D" w:rsidRPr="0047356D" w:rsidRDefault="0047356D" w:rsidP="0047356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56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2.0 %</w:t>
            </w:r>
          </w:p>
        </w:tc>
      </w:tr>
    </w:tbl>
    <w:p w:rsidR="00BA4699" w:rsidRPr="0047356D" w:rsidRDefault="00BA4699" w:rsidP="0047356D">
      <w:pPr>
        <w:rPr>
          <w:sz w:val="20"/>
          <w:szCs w:val="20"/>
        </w:rPr>
      </w:pPr>
    </w:p>
    <w:sectPr w:rsidR="00BA4699" w:rsidRPr="0047356D" w:rsidSect="00473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356D"/>
    <w:rsid w:val="0047356D"/>
    <w:rsid w:val="00B97396"/>
    <w:rsid w:val="00BA4699"/>
    <w:rsid w:val="00E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5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2021-02-11T05:23:00Z</dcterms:created>
  <dcterms:modified xsi:type="dcterms:W3CDTF">2021-02-11T06:05:00Z</dcterms:modified>
</cp:coreProperties>
</file>