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4A" w:rsidRPr="000C5F34" w:rsidRDefault="000C5F34" w:rsidP="00B841B8">
      <w:pPr>
        <w:spacing w:after="0" w:line="240" w:lineRule="auto"/>
        <w:jc w:val="center"/>
        <w:rPr>
          <w:rFonts w:ascii="Cambria Math" w:hAnsi="Cambria Math" w:cs="Times New Roman"/>
          <w:b/>
          <w:color w:val="FF0066"/>
          <w:sz w:val="32"/>
          <w:szCs w:val="32"/>
        </w:rPr>
      </w:pPr>
      <w:r w:rsidRPr="000C5F34">
        <w:rPr>
          <w:rFonts w:ascii="Cambria Math" w:hAnsi="Cambria Math" w:cs="Times New Roman"/>
          <w:b/>
          <w:noProof/>
          <w:color w:val="FF0066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119A3" wp14:editId="57914C51">
                <wp:simplePos x="0" y="0"/>
                <wp:positionH relativeFrom="column">
                  <wp:posOffset>-230284</wp:posOffset>
                </wp:positionH>
                <wp:positionV relativeFrom="paragraph">
                  <wp:posOffset>-113555</wp:posOffset>
                </wp:positionV>
                <wp:extent cx="7028953" cy="5112689"/>
                <wp:effectExtent l="0" t="0" r="19685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8953" cy="5112689"/>
                        </a:xfrm>
                        <a:prstGeom prst="rect">
                          <a:avLst/>
                        </a:prstGeom>
                        <a:solidFill>
                          <a:srgbClr val="F7FEFF"/>
                        </a:solidFill>
                        <a:ln>
                          <a:solidFill>
                            <a:srgbClr val="00B0F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8.15pt;margin-top:-8.95pt;width:553.45pt;height:40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" fillcolor="#f7feff" strokecolor="#00b0f0" strokeweight="2pt">
                <v:stroke dashstyle="1 1"/>
              </v:rect>
            </w:pict>
          </mc:Fallback>
        </mc:AlternateContent>
      </w:r>
      <w:r w:rsidR="00180F4A" w:rsidRPr="000C5F34">
        <w:rPr>
          <w:rFonts w:ascii="Cambria Math" w:hAnsi="Cambria Math" w:cs="Times New Roman"/>
          <w:b/>
          <w:color w:val="FF0066"/>
          <w:sz w:val="32"/>
          <w:szCs w:val="32"/>
        </w:rPr>
        <w:t>Правила демонстрации наглядных материалов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Следует использовать лишь те наглядные материалы, которые необходимы для передачи информации или привлечения внимания слушателей.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Лучше всего не крепить наглядность заранее, а достать ее в нужный момент и убрать, как только в ней отпадёт необходимость.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Говорящий должен обеспечить слушающим комфортное восприятие наглядности: всем должно быть хорошо видно демонстрируемое.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Графики, таблицы, схемы должны быть удобочитаемы.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Не следует передавать материалы по рядам: это рассредоточивает внимание, т.к. все рассматривают пособия в разное время.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 xml:space="preserve">Демонстрируя наглядность, надо стоять в середине аудитории. Если наглядность находится в руках </w:t>
      </w:r>
      <w:proofErr w:type="gramStart"/>
      <w:r w:rsidRPr="000C5F34">
        <w:rPr>
          <w:rFonts w:ascii="Cambria Math" w:hAnsi="Cambria Math" w:cs="Times New Roman"/>
          <w:sz w:val="26"/>
          <w:szCs w:val="26"/>
        </w:rPr>
        <w:t>говорящего</w:t>
      </w:r>
      <w:proofErr w:type="gramEnd"/>
      <w:r w:rsidRPr="000C5F34">
        <w:rPr>
          <w:rFonts w:ascii="Cambria Math" w:hAnsi="Cambria Math" w:cs="Times New Roman"/>
          <w:sz w:val="26"/>
          <w:szCs w:val="26"/>
        </w:rPr>
        <w:t>, то надо держать ее на уровне груди.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Не стоит использовать наглядность, если её вид не эстетиче</w:t>
      </w:r>
      <w:r w:rsidR="000C5F34">
        <w:rPr>
          <w:rFonts w:ascii="Cambria Math" w:hAnsi="Cambria Math" w:cs="Times New Roman"/>
          <w:sz w:val="26"/>
          <w:szCs w:val="26"/>
        </w:rPr>
        <w:t>н</w:t>
      </w:r>
      <w:r w:rsidRPr="000C5F34">
        <w:rPr>
          <w:rFonts w:ascii="Cambria Math" w:hAnsi="Cambria Math" w:cs="Times New Roman"/>
          <w:sz w:val="26"/>
          <w:szCs w:val="26"/>
        </w:rPr>
        <w:t>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Демонстрируя наглядность, следует комментировать ее содержание.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Говоря о том, что помещено в таблицу или схему, надо не забывать о зрительном контакте с аудиторией: мы говорим с людьми, а не с таблицей!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 xml:space="preserve">При использовании </w:t>
      </w:r>
      <w:proofErr w:type="gramStart"/>
      <w:r w:rsidRPr="000C5F34">
        <w:rPr>
          <w:rFonts w:ascii="Cambria Math" w:hAnsi="Cambria Math" w:cs="Times New Roman"/>
          <w:sz w:val="26"/>
          <w:szCs w:val="26"/>
        </w:rPr>
        <w:t>слайд-презентации</w:t>
      </w:r>
      <w:proofErr w:type="gramEnd"/>
      <w:r w:rsidRPr="000C5F34">
        <w:rPr>
          <w:rFonts w:ascii="Cambria Math" w:hAnsi="Cambria Math" w:cs="Times New Roman"/>
          <w:sz w:val="26"/>
          <w:szCs w:val="26"/>
        </w:rPr>
        <w:t xml:space="preserve"> надо продумать систему переключения слайдов. Лучше, если управлять ею будет сам говорящий или хорошо подготовленный человек. Не стоит поручать смену кадров плохо ориентирующемуся в презентации человеку.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Разрабатывая презентацию, таблицу, схему, диаграмму, надо продумать систему цветовых и шрифтовых выделений. Все выделения должны быть уместны.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Чрезмерная пестрота, а также большой объем тек</w:t>
      </w:r>
      <w:r w:rsidR="000C5F34">
        <w:rPr>
          <w:rFonts w:ascii="Cambria Math" w:hAnsi="Cambria Math" w:cs="Times New Roman"/>
          <w:sz w:val="26"/>
          <w:szCs w:val="26"/>
        </w:rPr>
        <w:t>ста затрудняют восприятие</w:t>
      </w:r>
      <w:r w:rsidRPr="000C5F34">
        <w:rPr>
          <w:rFonts w:ascii="Cambria Math" w:hAnsi="Cambria Math" w:cs="Times New Roman"/>
          <w:sz w:val="26"/>
          <w:szCs w:val="26"/>
        </w:rPr>
        <w:t>.</w:t>
      </w:r>
    </w:p>
    <w:p w:rsidR="00180F4A" w:rsidRPr="000C5F34" w:rsidRDefault="00180F4A" w:rsidP="000C5F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Если слушатели рассматривают наглядность, надо сделать паузу и дать им закончить</w:t>
      </w:r>
      <w:r w:rsidR="000C5F34">
        <w:rPr>
          <w:rFonts w:ascii="Cambria Math" w:hAnsi="Cambria Math" w:cs="Times New Roman"/>
          <w:sz w:val="26"/>
          <w:szCs w:val="26"/>
        </w:rPr>
        <w:t xml:space="preserve"> рассматривание</w:t>
      </w:r>
      <w:r w:rsidRPr="000C5F34">
        <w:rPr>
          <w:rFonts w:ascii="Cambria Math" w:hAnsi="Cambria Math" w:cs="Times New Roman"/>
          <w:sz w:val="26"/>
          <w:szCs w:val="26"/>
        </w:rPr>
        <w:t>.</w:t>
      </w:r>
    </w:p>
    <w:p w:rsidR="000C5F34" w:rsidRDefault="000C5F34" w:rsidP="000C5F34">
      <w:pPr>
        <w:spacing w:after="0" w:line="240" w:lineRule="auto"/>
        <w:jc w:val="center"/>
        <w:rPr>
          <w:rFonts w:ascii="Cambria Math" w:hAnsi="Cambria Math" w:cs="Times New Roman"/>
          <w:b/>
          <w:color w:val="FF0066"/>
          <w:sz w:val="32"/>
          <w:szCs w:val="32"/>
        </w:rPr>
      </w:pPr>
      <w:r w:rsidRPr="000C5F34">
        <w:rPr>
          <w:rFonts w:ascii="Cambria Math" w:hAnsi="Cambria Math" w:cs="Times New Roman"/>
          <w:b/>
          <w:noProof/>
          <w:color w:val="FF0066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5D6B11A" wp14:editId="785517EA">
                <wp:simplePos x="0" y="0"/>
                <wp:positionH relativeFrom="column">
                  <wp:posOffset>-229870</wp:posOffset>
                </wp:positionH>
                <wp:positionV relativeFrom="paragraph">
                  <wp:posOffset>203835</wp:posOffset>
                </wp:positionV>
                <wp:extent cx="7028815" cy="5112385"/>
                <wp:effectExtent l="0" t="0" r="1968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8815" cy="5112385"/>
                        </a:xfrm>
                        <a:prstGeom prst="rect">
                          <a:avLst/>
                        </a:prstGeom>
                        <a:solidFill>
                          <a:srgbClr val="F7FEFF"/>
                        </a:solidFill>
                        <a:ln>
                          <a:solidFill>
                            <a:srgbClr val="00B0F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8.1pt;margin-top:16.05pt;width:553.45pt;height:40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" fillcolor="#f7feff" strokecolor="#00b0f0" strokeweight="2pt">
                <v:stroke dashstyle="1 1"/>
              </v:rect>
            </w:pict>
          </mc:Fallback>
        </mc:AlternateContent>
      </w:r>
    </w:p>
    <w:p w:rsidR="000C5F34" w:rsidRPr="000C5F34" w:rsidRDefault="000C5F34" w:rsidP="000C5F34">
      <w:pPr>
        <w:spacing w:after="0" w:line="240" w:lineRule="auto"/>
        <w:jc w:val="center"/>
        <w:rPr>
          <w:rFonts w:ascii="Cambria Math" w:hAnsi="Cambria Math" w:cs="Times New Roman"/>
          <w:b/>
          <w:color w:val="FF0066"/>
          <w:sz w:val="32"/>
          <w:szCs w:val="32"/>
        </w:rPr>
      </w:pPr>
      <w:r w:rsidRPr="000C5F34">
        <w:rPr>
          <w:rFonts w:ascii="Cambria Math" w:hAnsi="Cambria Math" w:cs="Times New Roman"/>
          <w:b/>
          <w:color w:val="FF0066"/>
          <w:sz w:val="32"/>
          <w:szCs w:val="32"/>
        </w:rPr>
        <w:t>Правила демонстрации наглядных материалов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Следует использовать лишь те наглядные материалы, которые необходимы для передачи информации или привлечения внимания слушателей.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Лучше всего не крепить наглядность заранее, а достать ее в нужный момент и убрать, как только в ней отпадёт необходимость.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Говорящий должен обеспечить слушающим комфортное восприятие наглядности: всем должно быть хорошо видно демонстрируемое.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Графики, таблицы, схемы должны быть удобочитаемы.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Не следует передавать материалы по рядам: это рассредоточивает внимание, т.к. все рассматривают пособия в разное время.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 xml:space="preserve">Демонстрируя наглядность, надо стоять в середине аудитории. Если наглядность находится в руках </w:t>
      </w:r>
      <w:proofErr w:type="gramStart"/>
      <w:r w:rsidRPr="000C5F34">
        <w:rPr>
          <w:rFonts w:ascii="Cambria Math" w:hAnsi="Cambria Math" w:cs="Times New Roman"/>
          <w:sz w:val="26"/>
          <w:szCs w:val="26"/>
        </w:rPr>
        <w:t>говорящего</w:t>
      </w:r>
      <w:proofErr w:type="gramEnd"/>
      <w:r w:rsidRPr="000C5F34">
        <w:rPr>
          <w:rFonts w:ascii="Cambria Math" w:hAnsi="Cambria Math" w:cs="Times New Roman"/>
          <w:sz w:val="26"/>
          <w:szCs w:val="26"/>
        </w:rPr>
        <w:t>, то надо держать ее на уровне груди.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Не стоит использовать наглядность, если её вид не эстетиче</w:t>
      </w:r>
      <w:r>
        <w:rPr>
          <w:rFonts w:ascii="Cambria Math" w:hAnsi="Cambria Math" w:cs="Times New Roman"/>
          <w:sz w:val="26"/>
          <w:szCs w:val="26"/>
        </w:rPr>
        <w:t>н</w:t>
      </w:r>
      <w:r w:rsidRPr="000C5F34">
        <w:rPr>
          <w:rFonts w:ascii="Cambria Math" w:hAnsi="Cambria Math" w:cs="Times New Roman"/>
          <w:sz w:val="26"/>
          <w:szCs w:val="26"/>
        </w:rPr>
        <w:t>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Демонстрируя наглядность, следует комментировать ее содержание.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Говоря о том, что помещено в таблицу или схему, надо не забывать о зрительном контакте с аудиторией: мы говорим с людьми, а не с таблицей!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 xml:space="preserve">При использовании </w:t>
      </w:r>
      <w:proofErr w:type="gramStart"/>
      <w:r w:rsidRPr="000C5F34">
        <w:rPr>
          <w:rFonts w:ascii="Cambria Math" w:hAnsi="Cambria Math" w:cs="Times New Roman"/>
          <w:sz w:val="26"/>
          <w:szCs w:val="26"/>
        </w:rPr>
        <w:t>сла</w:t>
      </w:r>
      <w:bookmarkStart w:id="0" w:name="_GoBack"/>
      <w:bookmarkEnd w:id="0"/>
      <w:r w:rsidRPr="000C5F34">
        <w:rPr>
          <w:rFonts w:ascii="Cambria Math" w:hAnsi="Cambria Math" w:cs="Times New Roman"/>
          <w:sz w:val="26"/>
          <w:szCs w:val="26"/>
        </w:rPr>
        <w:t>йд-презентации</w:t>
      </w:r>
      <w:proofErr w:type="gramEnd"/>
      <w:r w:rsidRPr="000C5F34">
        <w:rPr>
          <w:rFonts w:ascii="Cambria Math" w:hAnsi="Cambria Math" w:cs="Times New Roman"/>
          <w:sz w:val="26"/>
          <w:szCs w:val="26"/>
        </w:rPr>
        <w:t xml:space="preserve"> надо продумать систему переключения слайдов. Лучше, если управлять ею будет сам говорящий или хорошо подготовленный человек. Не стоит поручать смену кадров плохо ориентирующемуся в презентации человеку.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Разрабатывая презентацию, таблицу, схему, диаграмму, надо продумать систему цветовых и шрифтовых выделений. Все выделения должны быть уместны.</w:t>
      </w:r>
    </w:p>
    <w:p w:rsidR="000C5F34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 w:rsidRPr="000C5F34">
        <w:rPr>
          <w:rFonts w:ascii="Cambria Math" w:hAnsi="Cambria Math" w:cs="Times New Roman"/>
          <w:sz w:val="26"/>
          <w:szCs w:val="26"/>
        </w:rPr>
        <w:t>Чрезмерная пестрота, а также большой объем тек</w:t>
      </w:r>
      <w:r>
        <w:rPr>
          <w:rFonts w:ascii="Cambria Math" w:hAnsi="Cambria Math" w:cs="Times New Roman"/>
          <w:sz w:val="26"/>
          <w:szCs w:val="26"/>
        </w:rPr>
        <w:t>ста затрудняют восприятие</w:t>
      </w:r>
      <w:r w:rsidRPr="000C5F34">
        <w:rPr>
          <w:rFonts w:ascii="Cambria Math" w:hAnsi="Cambria Math" w:cs="Times New Roman"/>
          <w:sz w:val="26"/>
          <w:szCs w:val="26"/>
        </w:rPr>
        <w:t>.</w:t>
      </w:r>
    </w:p>
    <w:p w:rsidR="00C328D9" w:rsidRPr="000C5F34" w:rsidRDefault="000C5F34" w:rsidP="00864F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F34">
        <w:rPr>
          <w:rFonts w:ascii="Cambria Math" w:hAnsi="Cambria Math" w:cs="Times New Roman"/>
          <w:sz w:val="26"/>
          <w:szCs w:val="26"/>
        </w:rPr>
        <w:t>Если слушатели рассматривают наглядность, надо сделать паузу и дать им закончить рассматривание.</w:t>
      </w:r>
    </w:p>
    <w:sectPr w:rsidR="00C328D9" w:rsidRPr="000C5F34" w:rsidSect="000C5F34">
      <w:pgSz w:w="11906" w:h="16838"/>
      <w:pgMar w:top="454" w:right="567" w:bottom="45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9BE"/>
    <w:multiLevelType w:val="multilevel"/>
    <w:tmpl w:val="4A1C6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FF0066"/>
        <w:sz w:val="26"/>
        <w:szCs w:val="26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55E249D"/>
    <w:multiLevelType w:val="multilevel"/>
    <w:tmpl w:val="14BAA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FF0066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1F"/>
    <w:rsid w:val="000C5F34"/>
    <w:rsid w:val="0016424E"/>
    <w:rsid w:val="00180F4A"/>
    <w:rsid w:val="005D4E1F"/>
    <w:rsid w:val="00864F7F"/>
    <w:rsid w:val="00B841B8"/>
    <w:rsid w:val="00C3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2026-01-16T11:25:00Z</cp:lastPrinted>
  <dcterms:created xsi:type="dcterms:W3CDTF">2026-01-10T07:53:00Z</dcterms:created>
  <dcterms:modified xsi:type="dcterms:W3CDTF">2026-01-16T12:32:00Z</dcterms:modified>
</cp:coreProperties>
</file>